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B0" w:rsidRDefault="003300B0" w:rsidP="003300B0">
      <w:pPr>
        <w:jc w:val="left"/>
      </w:pPr>
      <w:r>
        <w:rPr>
          <w:rFonts w:ascii="Garamond" w:eastAsia="Garamond" w:hAnsi="Garamond" w:cs="Garamond"/>
          <w:b/>
          <w:color w:val="004A8B"/>
          <w:sz w:val="40"/>
          <w:szCs w:val="40"/>
        </w:rPr>
        <w:t>Better EBITDA despite lower average prices</w:t>
      </w:r>
    </w:p>
    <w:p w:rsidR="003300B0" w:rsidRDefault="003300B0" w:rsidP="003300B0">
      <w:pPr>
        <w:spacing w:before="120"/>
        <w:jc w:val="left"/>
      </w:pPr>
      <w:r>
        <w:rPr>
          <w:rFonts w:ascii="Garamond" w:eastAsia="Garamond" w:hAnsi="Garamond" w:cs="Garamond"/>
          <w:sz w:val="26"/>
          <w:szCs w:val="26"/>
        </w:rPr>
        <w:t>Energy availability throughout the industry created additional capacity, resulting in lower prices due to intensified competition. However, ACC reported better EBITDA compared to Q1 2015 thanks to decline both in costs of production as well as SG&amp;A.</w:t>
      </w:r>
    </w:p>
    <w:p w:rsidR="003300B0" w:rsidRDefault="003300B0" w:rsidP="003300B0">
      <w:pPr>
        <w:ind w:left="2835"/>
      </w:pPr>
    </w:p>
    <w:tbl>
      <w:tblPr>
        <w:tblW w:w="10025" w:type="dxa"/>
        <w:tblInd w:w="-115" w:type="dxa"/>
        <w:tblBorders>
          <w:top w:val="single" w:sz="4" w:space="0" w:color="BFBFBF"/>
          <w:left w:val="single" w:sz="4" w:space="0" w:color="BFBFBF"/>
          <w:bottom w:val="single" w:sz="4" w:space="0" w:color="BFBFBF"/>
          <w:right w:val="single" w:sz="4" w:space="0" w:color="BFBFBF"/>
          <w:insideH w:val="nil"/>
          <w:insideV w:val="nil"/>
        </w:tblBorders>
        <w:tblLayout w:type="fixed"/>
        <w:tblLook w:val="0400"/>
      </w:tblPr>
      <w:tblGrid>
        <w:gridCol w:w="10025"/>
      </w:tblGrid>
      <w:tr w:rsidR="003300B0" w:rsidTr="00D31052">
        <w:trPr>
          <w:trHeight w:val="3040"/>
        </w:trPr>
        <w:tc>
          <w:tcPr>
            <w:tcW w:w="10025" w:type="dxa"/>
            <w:shd w:val="clear" w:color="auto" w:fill="E4E4E4"/>
          </w:tcPr>
          <w:p w:rsidR="003300B0" w:rsidRDefault="003300B0" w:rsidP="00D31052">
            <w:pPr>
              <w:pStyle w:val="Heading2"/>
              <w:spacing w:before="100"/>
            </w:pPr>
            <w:r>
              <w:rPr>
                <w:rFonts w:ascii="Garamond" w:eastAsia="Garamond" w:hAnsi="Garamond" w:cs="Garamond"/>
                <w:b/>
                <w:sz w:val="24"/>
                <w:szCs w:val="24"/>
              </w:rPr>
              <w:t>Key Income Statement Highlights of 1Q 2016</w:t>
            </w:r>
          </w:p>
          <w:tbl>
            <w:tblPr>
              <w:tblW w:w="9685" w:type="dxa"/>
              <w:tblBorders>
                <w:top w:val="nil"/>
                <w:left w:val="nil"/>
                <w:bottom w:val="nil"/>
                <w:right w:val="nil"/>
                <w:insideH w:val="nil"/>
                <w:insideV w:val="nil"/>
              </w:tblBorders>
              <w:tblLayout w:type="fixed"/>
              <w:tblLook w:val="0400"/>
            </w:tblPr>
            <w:tblGrid>
              <w:gridCol w:w="2422"/>
              <w:gridCol w:w="2421"/>
              <w:gridCol w:w="2421"/>
              <w:gridCol w:w="2421"/>
            </w:tblGrid>
            <w:tr w:rsidR="003300B0" w:rsidTr="00D31052">
              <w:tc>
                <w:tcPr>
                  <w:tcW w:w="2422" w:type="dxa"/>
                  <w:tcBorders>
                    <w:right w:val="single" w:sz="4" w:space="0" w:color="B2B2B2"/>
                  </w:tcBorders>
                </w:tcPr>
                <w:p w:rsidR="003300B0" w:rsidRDefault="003300B0" w:rsidP="00D31052">
                  <w:pPr>
                    <w:jc w:val="left"/>
                  </w:pPr>
                  <w:r>
                    <w:rPr>
                      <w:rFonts w:ascii="Garamond" w:eastAsia="Garamond" w:hAnsi="Garamond" w:cs="Garamond"/>
                      <w:color w:val="004A8B"/>
                      <w:sz w:val="24"/>
                      <w:szCs w:val="24"/>
                    </w:rPr>
                    <w:t xml:space="preserve">4% </w:t>
                  </w:r>
                </w:p>
                <w:p w:rsidR="003300B0" w:rsidRDefault="003300B0" w:rsidP="00D31052">
                  <w:pPr>
                    <w:jc w:val="left"/>
                  </w:pPr>
                  <w:r>
                    <w:rPr>
                      <w:rFonts w:ascii="Garamond" w:eastAsia="Garamond" w:hAnsi="Garamond" w:cs="Garamond"/>
                      <w:color w:val="004A8B"/>
                      <w:sz w:val="24"/>
                      <w:szCs w:val="24"/>
                    </w:rPr>
                    <w:t>Increase in EBITDA</w:t>
                  </w:r>
                </w:p>
                <w:p w:rsidR="003300B0" w:rsidRDefault="003300B0" w:rsidP="00D31052">
                  <w:pPr>
                    <w:jc w:val="left"/>
                  </w:pPr>
                  <w:r>
                    <w:rPr>
                      <w:rFonts w:ascii="Garamond" w:eastAsia="Garamond" w:hAnsi="Garamond" w:cs="Garamond"/>
                      <w:color w:val="004A8B"/>
                      <w:sz w:val="24"/>
                      <w:szCs w:val="24"/>
                    </w:rPr>
                    <w:t>191 MM</w:t>
                  </w:r>
                </w:p>
                <w:p w:rsidR="003300B0" w:rsidRDefault="003300B0" w:rsidP="00D31052">
                  <w:pPr>
                    <w:jc w:val="left"/>
                  </w:pPr>
                </w:p>
              </w:tc>
              <w:tc>
                <w:tcPr>
                  <w:tcW w:w="2421" w:type="dxa"/>
                  <w:tcBorders>
                    <w:left w:val="single" w:sz="4" w:space="0" w:color="B2B2B2"/>
                    <w:right w:val="single" w:sz="4" w:space="0" w:color="B2B2B2"/>
                  </w:tcBorders>
                </w:tcPr>
                <w:p w:rsidR="003300B0" w:rsidRDefault="003300B0" w:rsidP="00D31052">
                  <w:pPr>
                    <w:ind w:left="113"/>
                    <w:jc w:val="left"/>
                  </w:pPr>
                  <w:r>
                    <w:rPr>
                      <w:rFonts w:ascii="Garamond" w:eastAsia="Garamond" w:hAnsi="Garamond" w:cs="Garamond"/>
                      <w:color w:val="004A8B"/>
                      <w:sz w:val="24"/>
                      <w:szCs w:val="24"/>
                    </w:rPr>
                    <w:t xml:space="preserve">23% </w:t>
                  </w:r>
                  <w:r>
                    <w:rPr>
                      <w:rFonts w:ascii="Garamond" w:eastAsia="Garamond" w:hAnsi="Garamond" w:cs="Garamond"/>
                      <w:color w:val="004A8B"/>
                      <w:sz w:val="24"/>
                      <w:szCs w:val="24"/>
                    </w:rPr>
                    <w:br/>
                    <w:t>Decrease in G&amp;A</w:t>
                  </w:r>
                </w:p>
                <w:p w:rsidR="003300B0" w:rsidRDefault="003300B0" w:rsidP="00D31052">
                  <w:pPr>
                    <w:ind w:left="113"/>
                    <w:jc w:val="left"/>
                  </w:pPr>
                  <w:r>
                    <w:rPr>
                      <w:rFonts w:ascii="Garamond" w:eastAsia="Garamond" w:hAnsi="Garamond" w:cs="Garamond"/>
                      <w:color w:val="004A8B"/>
                      <w:sz w:val="24"/>
                      <w:szCs w:val="24"/>
                    </w:rPr>
                    <w:t xml:space="preserve">18.6 MM </w:t>
                  </w:r>
                </w:p>
              </w:tc>
              <w:tc>
                <w:tcPr>
                  <w:tcW w:w="2421" w:type="dxa"/>
                  <w:tcBorders>
                    <w:left w:val="single" w:sz="4" w:space="0" w:color="B2B2B2"/>
                    <w:right w:val="single" w:sz="4" w:space="0" w:color="B2B2B2"/>
                  </w:tcBorders>
                </w:tcPr>
                <w:p w:rsidR="003300B0" w:rsidRDefault="003300B0" w:rsidP="00D31052">
                  <w:pPr>
                    <w:jc w:val="left"/>
                  </w:pPr>
                  <w:r>
                    <w:rPr>
                      <w:rFonts w:ascii="Garamond" w:eastAsia="Garamond" w:hAnsi="Garamond" w:cs="Garamond"/>
                      <w:color w:val="004A8B"/>
                      <w:sz w:val="24"/>
                      <w:szCs w:val="24"/>
                    </w:rPr>
                    <w:t xml:space="preserve">5% </w:t>
                  </w:r>
                  <w:r>
                    <w:rPr>
                      <w:rFonts w:ascii="Garamond" w:eastAsia="Garamond" w:hAnsi="Garamond" w:cs="Garamond"/>
                      <w:color w:val="004A8B"/>
                      <w:sz w:val="24"/>
                      <w:szCs w:val="24"/>
                    </w:rPr>
                    <w:br/>
                    <w:t>Decrease in volumes to</w:t>
                  </w:r>
                </w:p>
                <w:p w:rsidR="003300B0" w:rsidRDefault="003300B0" w:rsidP="00D31052">
                  <w:pPr>
                    <w:jc w:val="left"/>
                  </w:pPr>
                  <w:r>
                    <w:rPr>
                      <w:rFonts w:ascii="Garamond" w:eastAsia="Garamond" w:hAnsi="Garamond" w:cs="Garamond"/>
                      <w:color w:val="004A8B"/>
                      <w:sz w:val="24"/>
                      <w:szCs w:val="24"/>
                    </w:rPr>
                    <w:t>1.02 mn tons</w:t>
                  </w:r>
                </w:p>
                <w:p w:rsidR="003300B0" w:rsidRDefault="003300B0" w:rsidP="00D31052">
                  <w:pPr>
                    <w:ind w:left="113"/>
                    <w:jc w:val="left"/>
                  </w:pPr>
                </w:p>
              </w:tc>
              <w:tc>
                <w:tcPr>
                  <w:tcW w:w="2421" w:type="dxa"/>
                  <w:tcBorders>
                    <w:left w:val="single" w:sz="4" w:space="0" w:color="B2B2B2"/>
                  </w:tcBorders>
                </w:tcPr>
                <w:p w:rsidR="003300B0" w:rsidRDefault="003300B0" w:rsidP="00D31052">
                  <w:pPr>
                    <w:ind w:left="113"/>
                    <w:jc w:val="left"/>
                  </w:pPr>
                  <w:r>
                    <w:rPr>
                      <w:rFonts w:ascii="Garamond" w:eastAsia="Garamond" w:hAnsi="Garamond" w:cs="Garamond"/>
                      <w:color w:val="004A8B"/>
                      <w:sz w:val="24"/>
                      <w:szCs w:val="24"/>
                    </w:rPr>
                    <w:t xml:space="preserve">9% </w:t>
                  </w:r>
                  <w:r>
                    <w:rPr>
                      <w:rFonts w:ascii="Garamond" w:eastAsia="Garamond" w:hAnsi="Garamond" w:cs="Garamond"/>
                      <w:color w:val="004A8B"/>
                      <w:sz w:val="24"/>
                      <w:szCs w:val="24"/>
                    </w:rPr>
                    <w:br/>
                    <w:t xml:space="preserve">Reduction in cost/ton to </w:t>
                  </w:r>
                  <w:r>
                    <w:rPr>
                      <w:rFonts w:ascii="Garamond" w:eastAsia="Garamond" w:hAnsi="Garamond" w:cs="Garamond"/>
                      <w:color w:val="004A8B"/>
                      <w:sz w:val="24"/>
                      <w:szCs w:val="24"/>
                    </w:rPr>
                    <w:br/>
                    <w:t>EGP 321</w:t>
                  </w:r>
                </w:p>
              </w:tc>
            </w:tr>
            <w:tr w:rsidR="003300B0" w:rsidTr="00D31052">
              <w:tc>
                <w:tcPr>
                  <w:tcW w:w="9685" w:type="dxa"/>
                  <w:gridSpan w:val="4"/>
                </w:tcPr>
                <w:p w:rsidR="003300B0" w:rsidRDefault="003300B0" w:rsidP="00D31052">
                  <w:pPr>
                    <w:pStyle w:val="Heading2"/>
                    <w:spacing w:before="100"/>
                  </w:pPr>
                </w:p>
              </w:tc>
            </w:tr>
            <w:tr w:rsidR="003300B0" w:rsidTr="00D31052">
              <w:tc>
                <w:tcPr>
                  <w:tcW w:w="2422" w:type="dxa"/>
                  <w:tcBorders>
                    <w:right w:val="single" w:sz="4" w:space="0" w:color="B2B2B2"/>
                  </w:tcBorders>
                </w:tcPr>
                <w:p w:rsidR="003300B0" w:rsidRDefault="003300B0" w:rsidP="00D31052">
                  <w:pPr>
                    <w:jc w:val="left"/>
                  </w:pPr>
                  <w:r>
                    <w:rPr>
                      <w:rFonts w:ascii="Garamond" w:eastAsia="Garamond" w:hAnsi="Garamond" w:cs="Garamond"/>
                      <w:color w:val="004A8B"/>
                      <w:sz w:val="24"/>
                      <w:szCs w:val="24"/>
                    </w:rPr>
                    <w:t xml:space="preserve">7% </w:t>
                  </w:r>
                  <w:r>
                    <w:rPr>
                      <w:rFonts w:ascii="Garamond" w:eastAsia="Garamond" w:hAnsi="Garamond" w:cs="Garamond"/>
                      <w:color w:val="004A8B"/>
                      <w:sz w:val="24"/>
                      <w:szCs w:val="24"/>
                      <w:highlight w:val="yellow"/>
                    </w:rPr>
                    <w:br/>
                  </w:r>
                  <w:r>
                    <w:rPr>
                      <w:rFonts w:ascii="Garamond" w:eastAsia="Garamond" w:hAnsi="Garamond" w:cs="Garamond"/>
                      <w:color w:val="004A8B"/>
                      <w:sz w:val="24"/>
                      <w:szCs w:val="24"/>
                    </w:rPr>
                    <w:t>Market share</w:t>
                  </w:r>
                </w:p>
              </w:tc>
              <w:tc>
                <w:tcPr>
                  <w:tcW w:w="2421" w:type="dxa"/>
                  <w:tcBorders>
                    <w:left w:val="single" w:sz="4" w:space="0" w:color="B2B2B2"/>
                    <w:right w:val="single" w:sz="4" w:space="0" w:color="B2B2B2"/>
                  </w:tcBorders>
                </w:tcPr>
                <w:p w:rsidR="003300B0" w:rsidRDefault="003300B0" w:rsidP="00D31052">
                  <w:pPr>
                    <w:ind w:left="113"/>
                    <w:jc w:val="left"/>
                  </w:pPr>
                  <w:r>
                    <w:rPr>
                      <w:rFonts w:ascii="Garamond" w:eastAsia="Garamond" w:hAnsi="Garamond" w:cs="Garamond"/>
                      <w:color w:val="004A8B"/>
                      <w:sz w:val="24"/>
                      <w:szCs w:val="24"/>
                    </w:rPr>
                    <w:t xml:space="preserve"> 6% Net Profit Margin </w:t>
                  </w:r>
                </w:p>
              </w:tc>
              <w:tc>
                <w:tcPr>
                  <w:tcW w:w="2421" w:type="dxa"/>
                  <w:tcBorders>
                    <w:left w:val="single" w:sz="4" w:space="0" w:color="B2B2B2"/>
                    <w:right w:val="single" w:sz="4" w:space="0" w:color="B2B2B2"/>
                  </w:tcBorders>
                </w:tcPr>
                <w:p w:rsidR="003300B0" w:rsidRDefault="003300B0" w:rsidP="00D31052">
                  <w:pPr>
                    <w:ind w:left="113"/>
                    <w:jc w:val="left"/>
                  </w:pPr>
                  <w:r>
                    <w:rPr>
                      <w:rFonts w:ascii="Garamond" w:eastAsia="Garamond" w:hAnsi="Garamond" w:cs="Garamond"/>
                      <w:color w:val="004A8B"/>
                      <w:sz w:val="24"/>
                      <w:szCs w:val="24"/>
                    </w:rPr>
                    <w:t xml:space="preserve">36% </w:t>
                  </w:r>
                  <w:r>
                    <w:rPr>
                      <w:rFonts w:ascii="Garamond" w:eastAsia="Garamond" w:hAnsi="Garamond" w:cs="Garamond"/>
                      <w:color w:val="004A8B"/>
                      <w:sz w:val="24"/>
                      <w:szCs w:val="24"/>
                    </w:rPr>
                    <w:br/>
                    <w:t>EBITDA Margin</w:t>
                  </w:r>
                  <w:r>
                    <w:rPr>
                      <w:rFonts w:ascii="Garamond" w:eastAsia="Garamond" w:hAnsi="Garamond" w:cs="Garamond"/>
                      <w:sz w:val="24"/>
                      <w:szCs w:val="24"/>
                      <w:highlight w:val="yellow"/>
                    </w:rPr>
                    <w:br/>
                  </w:r>
                </w:p>
              </w:tc>
              <w:tc>
                <w:tcPr>
                  <w:tcW w:w="2421" w:type="dxa"/>
                  <w:tcBorders>
                    <w:left w:val="single" w:sz="4" w:space="0" w:color="B2B2B2"/>
                  </w:tcBorders>
                </w:tcPr>
                <w:p w:rsidR="003300B0" w:rsidRDefault="003300B0" w:rsidP="00D31052">
                  <w:pPr>
                    <w:ind w:left="113"/>
                    <w:jc w:val="left"/>
                  </w:pPr>
                  <w:r>
                    <w:rPr>
                      <w:rFonts w:ascii="Garamond" w:eastAsia="Garamond" w:hAnsi="Garamond" w:cs="Garamond"/>
                      <w:color w:val="004A8B"/>
                      <w:sz w:val="24"/>
                      <w:szCs w:val="24"/>
                    </w:rPr>
                    <w:t>FX loss 76Mn EGP</w:t>
                  </w:r>
                </w:p>
              </w:tc>
            </w:tr>
            <w:tr w:rsidR="003300B0" w:rsidTr="00D31052">
              <w:trPr>
                <w:trHeight w:val="300"/>
              </w:trPr>
              <w:tc>
                <w:tcPr>
                  <w:tcW w:w="2422" w:type="dxa"/>
                  <w:tcBorders>
                    <w:right w:val="single" w:sz="4" w:space="0" w:color="B2B2B2"/>
                  </w:tcBorders>
                </w:tcPr>
                <w:p w:rsidR="003300B0" w:rsidRDefault="003300B0" w:rsidP="00D31052">
                  <w:pPr>
                    <w:jc w:val="left"/>
                  </w:pPr>
                </w:p>
              </w:tc>
              <w:tc>
                <w:tcPr>
                  <w:tcW w:w="2421" w:type="dxa"/>
                  <w:tcBorders>
                    <w:left w:val="single" w:sz="4" w:space="0" w:color="B2B2B2"/>
                    <w:right w:val="single" w:sz="4" w:space="0" w:color="B2B2B2"/>
                  </w:tcBorders>
                </w:tcPr>
                <w:p w:rsidR="003300B0" w:rsidRDefault="003300B0" w:rsidP="00D31052">
                  <w:pPr>
                    <w:ind w:left="113"/>
                    <w:jc w:val="left"/>
                  </w:pPr>
                </w:p>
              </w:tc>
              <w:tc>
                <w:tcPr>
                  <w:tcW w:w="2421" w:type="dxa"/>
                  <w:tcBorders>
                    <w:left w:val="single" w:sz="4" w:space="0" w:color="B2B2B2"/>
                    <w:right w:val="single" w:sz="4" w:space="0" w:color="B2B2B2"/>
                  </w:tcBorders>
                </w:tcPr>
                <w:p w:rsidR="003300B0" w:rsidRDefault="003300B0" w:rsidP="00D31052">
                  <w:pPr>
                    <w:ind w:left="113"/>
                    <w:jc w:val="left"/>
                  </w:pPr>
                </w:p>
              </w:tc>
              <w:tc>
                <w:tcPr>
                  <w:tcW w:w="2421" w:type="dxa"/>
                  <w:tcBorders>
                    <w:left w:val="single" w:sz="4" w:space="0" w:color="B2B2B2"/>
                  </w:tcBorders>
                </w:tcPr>
                <w:p w:rsidR="003300B0" w:rsidRDefault="003300B0" w:rsidP="00D31052">
                  <w:pPr>
                    <w:ind w:left="113"/>
                    <w:jc w:val="left"/>
                  </w:pPr>
                </w:p>
              </w:tc>
            </w:tr>
          </w:tbl>
          <w:p w:rsidR="003300B0" w:rsidRDefault="003300B0" w:rsidP="00D31052"/>
        </w:tc>
      </w:tr>
    </w:tbl>
    <w:p w:rsidR="003300B0" w:rsidRDefault="003300B0" w:rsidP="003300B0"/>
    <w:p w:rsidR="003300B0" w:rsidRDefault="003300B0" w:rsidP="003300B0"/>
    <w:p w:rsidR="003300B0" w:rsidRDefault="003300B0" w:rsidP="003300B0">
      <w:pPr>
        <w:ind w:left="2880"/>
      </w:pPr>
      <w:r>
        <w:rPr>
          <w:rFonts w:ascii="Garamond" w:eastAsia="Garamond" w:hAnsi="Garamond" w:cs="Garamond"/>
          <w:b/>
          <w:sz w:val="22"/>
          <w:szCs w:val="22"/>
        </w:rPr>
        <w:t>26 May 2016| Cairo | Arabian Cement Company (ARCC.CA on the Egyptian Exchange)</w:t>
      </w:r>
      <w:r>
        <w:rPr>
          <w:rFonts w:ascii="Garamond" w:eastAsia="Garamond" w:hAnsi="Garamond" w:cs="Garamond"/>
          <w:sz w:val="22"/>
          <w:szCs w:val="22"/>
        </w:rPr>
        <w:t xml:space="preserve">, a leading Egyptian cement producer, reported its results for Q1 2016. Revenues for the period declined 8% to EGP 536 mn, compared to EGP 585 mn in Q1 2015, due to a decline in prices and decline in sold volumes. </w:t>
      </w:r>
    </w:p>
    <w:p w:rsidR="003300B0" w:rsidRDefault="003300B0" w:rsidP="003300B0">
      <w:pPr>
        <w:ind w:left="2880"/>
      </w:pPr>
    </w:p>
    <w:p w:rsidR="003300B0" w:rsidRDefault="003300B0" w:rsidP="003300B0">
      <w:pPr>
        <w:ind w:left="2880"/>
      </w:pPr>
      <w:r>
        <w:rPr>
          <w:rFonts w:ascii="Garamond" w:eastAsia="Garamond" w:hAnsi="Garamond" w:cs="Garamond"/>
          <w:sz w:val="22"/>
          <w:szCs w:val="22"/>
        </w:rPr>
        <w:t>EBITDA stood at 191 mn, 4% higher than the comparison period of Q1 2015 (EGP184 mn). Profit Before Tax declined by 47% compared to 2015 reaching EGP46 mn. mainly because of the devaluation that took place in March. Net Profit dropped 41% compared to Q1 2015 to EGP33 mn, while Net Profit Margin was down 4 ppt to 6%. Excluding the devaluation, the company would have reported a net profit of 109 mn.</w:t>
      </w:r>
    </w:p>
    <w:p w:rsidR="003300B0" w:rsidRDefault="003300B0" w:rsidP="003300B0">
      <w:pPr>
        <w:ind w:left="2880"/>
      </w:pPr>
    </w:p>
    <w:p w:rsidR="003300B0" w:rsidRDefault="003300B0" w:rsidP="003300B0">
      <w:pPr>
        <w:ind w:left="2880"/>
      </w:pPr>
    </w:p>
    <w:p w:rsidR="003300B0" w:rsidRDefault="003300B0" w:rsidP="003300B0">
      <w:pPr>
        <w:ind w:left="2880"/>
      </w:pPr>
      <w:r>
        <w:rPr>
          <w:rFonts w:ascii="Garamond" w:eastAsia="Garamond" w:hAnsi="Garamond" w:cs="Garamond"/>
          <w:color w:val="004A8B"/>
          <w:sz w:val="28"/>
          <w:szCs w:val="28"/>
        </w:rPr>
        <w:t>Comments on the Period</w:t>
      </w:r>
    </w:p>
    <w:p w:rsidR="003300B0" w:rsidRDefault="003300B0" w:rsidP="003300B0">
      <w:pPr>
        <w:ind w:left="2880"/>
      </w:pPr>
    </w:p>
    <w:p w:rsidR="003300B0" w:rsidRDefault="003300B0" w:rsidP="003300B0">
      <w:pPr>
        <w:ind w:left="2880"/>
      </w:pPr>
      <w:r>
        <w:rPr>
          <w:rFonts w:ascii="Garamond" w:eastAsia="Garamond" w:hAnsi="Garamond" w:cs="Garamond"/>
          <w:sz w:val="22"/>
          <w:szCs w:val="22"/>
        </w:rPr>
        <w:t>During Q1 2016 market prices fluctuated from a low point in January of an average of EGP552/ton to a max in March reaching EGP695/ton. Accordingly, the Q1 2016 average net price per ton after deducting transportation cost, taxes and incentives stood at EGP526/ ton, 4% lower than Q1 2015 of EGP547/ton.</w:t>
      </w:r>
    </w:p>
    <w:p w:rsidR="003300B0" w:rsidRDefault="003300B0" w:rsidP="003300B0">
      <w:pPr>
        <w:ind w:left="2880"/>
      </w:pPr>
    </w:p>
    <w:p w:rsidR="005C5563" w:rsidRDefault="005C5563" w:rsidP="003300B0">
      <w:pPr>
        <w:ind w:left="2880"/>
      </w:pPr>
    </w:p>
    <w:p w:rsidR="005C5563" w:rsidRDefault="005C5563" w:rsidP="003300B0">
      <w:pPr>
        <w:ind w:left="2880"/>
      </w:pPr>
    </w:p>
    <w:p w:rsidR="003300B0" w:rsidRDefault="003300B0" w:rsidP="003300B0">
      <w:pPr>
        <w:ind w:left="2880"/>
      </w:pPr>
    </w:p>
    <w:p w:rsidR="003300B0" w:rsidRDefault="003300B0" w:rsidP="003300B0">
      <w:pPr>
        <w:ind w:left="2880"/>
      </w:pPr>
      <w:r>
        <w:rPr>
          <w:rFonts w:ascii="Garamond" w:eastAsia="Garamond" w:hAnsi="Garamond" w:cs="Garamond"/>
          <w:sz w:val="22"/>
          <w:szCs w:val="22"/>
        </w:rPr>
        <w:lastRenderedPageBreak/>
        <w:t>Regarding COGS, ACC managed to reduce its cost/ton by 9% from EGP352 in Q1 2015to EGP321 in Q1 2016. The cost reduction was mainly due to the improved fuel costs achieved through an energy mix of 75% coal and petcoke, 14% diesel and 11% alternative fuels. </w:t>
      </w:r>
    </w:p>
    <w:p w:rsidR="003300B0" w:rsidRDefault="003300B0" w:rsidP="003300B0">
      <w:pPr>
        <w:ind w:left="2880"/>
      </w:pPr>
      <w:r>
        <w:rPr>
          <w:rFonts w:ascii="Garamond" w:eastAsia="Garamond" w:hAnsi="Garamond" w:cs="Garamond"/>
          <w:sz w:val="22"/>
          <w:szCs w:val="22"/>
        </w:rPr>
        <w:t xml:space="preserve">Such improvements in operations were partially offset by a decline in prices, but nevertheless the gross profit margin was increased to  30% compared to 27% in Q1 2015. </w:t>
      </w:r>
    </w:p>
    <w:p w:rsidR="003300B0" w:rsidRDefault="003300B0" w:rsidP="003300B0"/>
    <w:p w:rsidR="003300B0" w:rsidRDefault="003300B0" w:rsidP="003300B0">
      <w:pPr>
        <w:ind w:left="2880"/>
      </w:pPr>
      <w:r>
        <w:rPr>
          <w:rFonts w:ascii="Garamond" w:eastAsia="Garamond" w:hAnsi="Garamond" w:cs="Garamond"/>
          <w:sz w:val="22"/>
          <w:szCs w:val="22"/>
        </w:rPr>
        <w:t xml:space="preserve">SG&amp;A spending declined 23% from Q1 2015 to EGP 19 mm. The main reason was lower general logistics costs due to optimization of the distribution network. SG&amp;A/sales ratio was reduced from 4% to 3%. </w:t>
      </w:r>
    </w:p>
    <w:p w:rsidR="003300B0" w:rsidRDefault="003300B0" w:rsidP="003300B0">
      <w:pPr>
        <w:ind w:left="2880"/>
      </w:pPr>
      <w:r>
        <w:rPr>
          <w:rFonts w:ascii="Garamond" w:eastAsia="Garamond" w:hAnsi="Garamond" w:cs="Garamond"/>
          <w:sz w:val="22"/>
          <w:szCs w:val="22"/>
        </w:rPr>
        <w:t>Because of the reductions in fuel costs and in transportation costs and despite lower prices, ACC saw improved results on the EBITDA level. EBITDA was 4% below Q1 2015 and EBITDA margin improved from 31% in Q1 2015 to 36% in Q1 2016.</w:t>
      </w:r>
    </w:p>
    <w:p w:rsidR="003300B0" w:rsidRDefault="003300B0" w:rsidP="003300B0"/>
    <w:p w:rsidR="003300B0" w:rsidRDefault="003300B0" w:rsidP="003300B0">
      <w:pPr>
        <w:ind w:left="2880"/>
      </w:pPr>
      <w:r>
        <w:rPr>
          <w:rFonts w:ascii="Garamond" w:eastAsia="Garamond" w:hAnsi="Garamond" w:cs="Garamond"/>
          <w:sz w:val="22"/>
          <w:szCs w:val="22"/>
        </w:rPr>
        <w:t xml:space="preserve">In March 2016 the CBE took the decision to devaluate the EGP against the USD to reach EGP 8.88, from EGP 7.83. This had its impact on the company’s accounts in terms of FX losses which stood at EGP 76mn compared to EGP 30 mn in Q1 2015. </w:t>
      </w:r>
    </w:p>
    <w:p w:rsidR="003300B0" w:rsidRDefault="003300B0" w:rsidP="003300B0">
      <w:pPr>
        <w:ind w:left="2880"/>
      </w:pPr>
    </w:p>
    <w:p w:rsidR="003300B0" w:rsidRDefault="003300B0" w:rsidP="003300B0">
      <w:pPr>
        <w:ind w:left="2880"/>
      </w:pPr>
      <w:r>
        <w:rPr>
          <w:rFonts w:ascii="Garamond" w:eastAsia="Garamond" w:hAnsi="Garamond" w:cs="Garamond"/>
          <w:sz w:val="22"/>
          <w:szCs w:val="22"/>
        </w:rPr>
        <w:t>Overall, due to 76mn exchange rate losses, ACC achieved a NP of EGP 33 mn, representing a 41% decline from Q1 2015, while NPM recorded 6% with a decline of 4% compared to Q1 2015</w:t>
      </w:r>
    </w:p>
    <w:p w:rsidR="003300B0" w:rsidRDefault="003300B0" w:rsidP="003300B0">
      <w:pPr>
        <w:ind w:left="2880"/>
      </w:pPr>
      <w:r>
        <w:rPr>
          <w:rFonts w:ascii="Garamond" w:eastAsia="Garamond" w:hAnsi="Garamond" w:cs="Garamond"/>
          <w:sz w:val="22"/>
          <w:szCs w:val="22"/>
        </w:rPr>
        <w:t>Our Balance Sheet is strong, with a 17% reduction in outstanding debt to 973 Mn compared to 1,174 Mn in Q1 2015  and  an improvement in debt/equity ratio to 0.7</w:t>
      </w:r>
    </w:p>
    <w:p w:rsidR="003300B0" w:rsidRDefault="003300B0" w:rsidP="003300B0">
      <w:pPr>
        <w:ind w:left="2880"/>
      </w:pPr>
    </w:p>
    <w:p w:rsidR="003300B0" w:rsidRDefault="003300B0" w:rsidP="003300B0">
      <w:pPr>
        <w:ind w:left="2880" w:hanging="45"/>
      </w:pPr>
      <w:r>
        <w:rPr>
          <w:rFonts w:ascii="Garamond" w:eastAsia="Garamond" w:hAnsi="Garamond" w:cs="Garamond"/>
          <w:color w:val="004A8B"/>
          <w:sz w:val="28"/>
          <w:szCs w:val="28"/>
        </w:rPr>
        <w:t>Outlook</w:t>
      </w:r>
    </w:p>
    <w:p w:rsidR="003300B0" w:rsidRDefault="003300B0" w:rsidP="003300B0">
      <w:pPr>
        <w:ind w:left="2880" w:hanging="45"/>
      </w:pPr>
      <w:r>
        <w:rPr>
          <w:rFonts w:ascii="Garamond" w:eastAsia="Garamond" w:hAnsi="Garamond" w:cs="Garamond"/>
          <w:sz w:val="22"/>
          <w:szCs w:val="22"/>
        </w:rPr>
        <w:t xml:space="preserve">Demand in Q1 2016 has seen an increase of 14% over Q1 2015 reaching 15 mn tons. Particularly April and May have seen strong volume increase and recovery of prices. We expect that Q2 2016 should see a significant recovery both in average selling prices and profitability. We will still focus on maximising EBITDA, selling at a premium and maintaining a competitive cost structure. </w:t>
      </w:r>
    </w:p>
    <w:p w:rsidR="003300B0" w:rsidRDefault="003300B0" w:rsidP="003300B0">
      <w:pPr>
        <w:ind w:left="2880" w:hanging="45"/>
        <w:rPr>
          <w:rFonts w:ascii="Garamond" w:eastAsia="Garamond" w:hAnsi="Garamond" w:cs="Garamond"/>
          <w:sz w:val="22"/>
          <w:szCs w:val="22"/>
        </w:rPr>
      </w:pPr>
      <w:bookmarkStart w:id="0" w:name="_GoBack"/>
      <w:bookmarkEnd w:id="0"/>
    </w:p>
    <w:p w:rsidR="002648CB" w:rsidRDefault="002648CB" w:rsidP="003300B0">
      <w:pPr>
        <w:ind w:left="2880" w:hanging="45"/>
        <w:rPr>
          <w:rFonts w:ascii="Garamond" w:eastAsia="Garamond" w:hAnsi="Garamond" w:cs="Garamond"/>
          <w:sz w:val="22"/>
          <w:szCs w:val="22"/>
        </w:rPr>
      </w:pPr>
    </w:p>
    <w:p w:rsidR="002648CB" w:rsidRDefault="002648CB" w:rsidP="003300B0">
      <w:pPr>
        <w:ind w:left="2880" w:hanging="45"/>
        <w:rPr>
          <w:rFonts w:ascii="Garamond" w:eastAsia="Garamond" w:hAnsi="Garamond" w:cs="Garamond"/>
          <w:sz w:val="22"/>
          <w:szCs w:val="22"/>
        </w:rPr>
      </w:pPr>
    </w:p>
    <w:p w:rsidR="002648CB" w:rsidRDefault="002648CB" w:rsidP="003300B0">
      <w:pPr>
        <w:ind w:left="2880" w:hanging="45"/>
        <w:rPr>
          <w:rFonts w:ascii="Garamond" w:eastAsia="Garamond" w:hAnsi="Garamond" w:cs="Garamond"/>
          <w:sz w:val="22"/>
          <w:szCs w:val="22"/>
        </w:rPr>
      </w:pPr>
    </w:p>
    <w:p w:rsidR="002648CB" w:rsidRDefault="002648CB" w:rsidP="003300B0">
      <w:pPr>
        <w:ind w:left="2880" w:hanging="45"/>
        <w:rPr>
          <w:rFonts w:ascii="Garamond" w:eastAsia="Garamond" w:hAnsi="Garamond" w:cs="Garamond"/>
          <w:sz w:val="22"/>
          <w:szCs w:val="22"/>
        </w:rPr>
      </w:pPr>
    </w:p>
    <w:p w:rsidR="002648CB" w:rsidRDefault="002648CB" w:rsidP="003300B0">
      <w:pPr>
        <w:ind w:left="2880" w:hanging="45"/>
        <w:rPr>
          <w:rFonts w:ascii="Garamond" w:eastAsia="Garamond" w:hAnsi="Garamond" w:cs="Garamond"/>
          <w:sz w:val="22"/>
          <w:szCs w:val="22"/>
        </w:rPr>
      </w:pPr>
    </w:p>
    <w:p w:rsidR="002648CB" w:rsidRDefault="002648CB" w:rsidP="003300B0">
      <w:pPr>
        <w:ind w:left="2880" w:hanging="45"/>
        <w:rPr>
          <w:rFonts w:ascii="Garamond" w:eastAsia="Garamond" w:hAnsi="Garamond" w:cs="Garamond"/>
          <w:sz w:val="22"/>
          <w:szCs w:val="22"/>
        </w:rPr>
      </w:pPr>
    </w:p>
    <w:p w:rsidR="002648CB" w:rsidRDefault="002648CB" w:rsidP="003300B0">
      <w:pPr>
        <w:ind w:left="2880" w:hanging="45"/>
        <w:rPr>
          <w:rFonts w:ascii="Garamond" w:eastAsia="Garamond" w:hAnsi="Garamond" w:cs="Garamond"/>
          <w:sz w:val="22"/>
          <w:szCs w:val="22"/>
        </w:rPr>
      </w:pPr>
    </w:p>
    <w:p w:rsidR="002648CB" w:rsidRDefault="002648CB" w:rsidP="003300B0">
      <w:pPr>
        <w:ind w:left="2880" w:hanging="45"/>
        <w:rPr>
          <w:rFonts w:ascii="Garamond" w:eastAsia="Garamond" w:hAnsi="Garamond" w:cs="Garamond"/>
          <w:sz w:val="22"/>
          <w:szCs w:val="22"/>
        </w:rPr>
      </w:pPr>
    </w:p>
    <w:p w:rsidR="002648CB" w:rsidRDefault="002648CB" w:rsidP="003300B0">
      <w:pPr>
        <w:ind w:left="2880" w:hanging="45"/>
      </w:pPr>
    </w:p>
    <w:p w:rsidR="003300B0" w:rsidRDefault="003300B0" w:rsidP="003300B0">
      <w:pPr>
        <w:ind w:left="2880" w:right="35"/>
      </w:pPr>
    </w:p>
    <w:p w:rsidR="003300B0" w:rsidRDefault="003300B0" w:rsidP="003300B0">
      <w:pPr>
        <w:ind w:left="2835" w:right="35"/>
      </w:pPr>
      <w:r>
        <w:rPr>
          <w:rFonts w:ascii="Garamond" w:eastAsia="Garamond" w:hAnsi="Garamond" w:cs="Garamond"/>
          <w:color w:val="004A8B"/>
          <w:sz w:val="28"/>
          <w:szCs w:val="28"/>
        </w:rPr>
        <w:lastRenderedPageBreak/>
        <w:t>About Arabian Cement Company</w:t>
      </w:r>
    </w:p>
    <w:p w:rsidR="003300B0" w:rsidRDefault="003300B0" w:rsidP="003300B0">
      <w:pPr>
        <w:ind w:left="2880" w:right="35"/>
      </w:pPr>
      <w:r>
        <w:rPr>
          <w:rFonts w:ascii="Garamond" w:eastAsia="Garamond" w:hAnsi="Garamond" w:cs="Garamond"/>
          <w:sz w:val="22"/>
          <w:szCs w:val="22"/>
        </w:rPr>
        <w:t xml:space="preserve">Arabian Cement Company (ACC) was first established in 1997 by a group of Egyptian entrepreneurs, who aspired to establish a leading Egyptian cement company. The cement factory is located in the Suez Governorate. </w:t>
      </w:r>
    </w:p>
    <w:p w:rsidR="003300B0" w:rsidRDefault="003300B0" w:rsidP="003300B0">
      <w:pPr>
        <w:ind w:left="2880" w:right="35"/>
      </w:pPr>
    </w:p>
    <w:p w:rsidR="003300B0" w:rsidRDefault="003300B0" w:rsidP="003300B0">
      <w:pPr>
        <w:ind w:left="2880" w:right="35"/>
      </w:pPr>
      <w:r>
        <w:rPr>
          <w:rFonts w:ascii="Garamond" w:eastAsia="Garamond" w:hAnsi="Garamond" w:cs="Garamond"/>
          <w:sz w:val="22"/>
          <w:szCs w:val="22"/>
        </w:rPr>
        <w:t>It produces 5MM tons of first quality cement, approximately 10% of Egypt’s production. ACC is a joint venture between Cementos La Union, a Spanish investor with 60% stake, and the remaining 17.5% is held by El Bourini family and 22.5% is the size of the free float.</w:t>
      </w:r>
    </w:p>
    <w:p w:rsidR="003300B0" w:rsidRDefault="003300B0" w:rsidP="003300B0">
      <w:pPr>
        <w:ind w:left="2880" w:right="35"/>
      </w:pPr>
    </w:p>
    <w:p w:rsidR="003300B0" w:rsidRDefault="003300B0" w:rsidP="003300B0">
      <w:pPr>
        <w:ind w:left="2880" w:right="35"/>
      </w:pPr>
      <w:r>
        <w:rPr>
          <w:rFonts w:ascii="Garamond" w:eastAsia="Garamond" w:hAnsi="Garamond" w:cs="Garamond"/>
          <w:sz w:val="22"/>
          <w:szCs w:val="22"/>
        </w:rPr>
        <w:t xml:space="preserve">Its brand "Al Mosallah" enjoys undisputed prestige and is considered among the best cements produced in Egypt. For further information, please refer to </w:t>
      </w:r>
      <w:hyperlink r:id="rId6">
        <w:r>
          <w:rPr>
            <w:rFonts w:ascii="Garamond" w:eastAsia="Garamond" w:hAnsi="Garamond" w:cs="Garamond"/>
            <w:color w:val="0000FF"/>
            <w:sz w:val="22"/>
            <w:szCs w:val="22"/>
            <w:u w:val="single"/>
          </w:rPr>
          <w:t>www.arabiancement.com</w:t>
        </w:r>
      </w:hyperlink>
      <w:hyperlink r:id="rId7"/>
    </w:p>
    <w:p w:rsidR="003300B0" w:rsidRDefault="00B321D9" w:rsidP="003300B0">
      <w:pPr>
        <w:ind w:left="2880" w:right="35"/>
      </w:pPr>
      <w:hyperlink r:id="rId8"/>
    </w:p>
    <w:p w:rsidR="003300B0" w:rsidRDefault="003300B0" w:rsidP="003300B0">
      <w:pPr>
        <w:ind w:left="2835"/>
      </w:pPr>
      <w:r>
        <w:rPr>
          <w:rFonts w:ascii="Garamond" w:eastAsia="Garamond" w:hAnsi="Garamond" w:cs="Garamond"/>
          <w:color w:val="004A8B"/>
          <w:sz w:val="28"/>
          <w:szCs w:val="28"/>
        </w:rPr>
        <w:t>For further information, please contact:</w:t>
      </w:r>
      <w:hyperlink r:id="rId9">
        <w:r>
          <w:rPr>
            <w:rFonts w:ascii="Garamond" w:eastAsia="Garamond" w:hAnsi="Garamond" w:cs="Garamond"/>
            <w:color w:val="0000FF"/>
            <w:sz w:val="28"/>
            <w:szCs w:val="28"/>
            <w:u w:val="single"/>
          </w:rPr>
          <w:t>IR@acceg.com</w:t>
        </w:r>
      </w:hyperlink>
      <w:hyperlink r:id="rId10"/>
    </w:p>
    <w:p w:rsidR="003300B0" w:rsidRDefault="003300B0" w:rsidP="003300B0">
      <w:pPr>
        <w:ind w:left="2835"/>
      </w:pPr>
      <w:r>
        <w:rPr>
          <w:rFonts w:ascii="Garamond" w:eastAsia="Garamond" w:hAnsi="Garamond" w:cs="Garamond"/>
          <w:color w:val="004A8B"/>
          <w:sz w:val="22"/>
          <w:szCs w:val="22"/>
        </w:rPr>
        <w:t>Forward-Looking Statements</w:t>
      </w:r>
    </w:p>
    <w:p w:rsidR="003300B0" w:rsidRDefault="003300B0" w:rsidP="003300B0">
      <w:pPr>
        <w:ind w:left="2835"/>
      </w:pPr>
      <w:r>
        <w:rPr>
          <w:rFonts w:ascii="Garamond" w:eastAsia="Garamond" w:hAnsi="Garamond" w:cs="Garamond"/>
          <w:sz w:val="16"/>
          <w:szCs w:val="16"/>
        </w:rPr>
        <w:t>Statements contained in this document that are not historical facts are based on current expectations, estimates, projections, opinions and beliefs of Arabian Cement Company (ACC). Such statements involve known and unknown risks, uncertainties and other factors; undue reliance should not be placed thereon. Certain information contained herein constitutes “targets” or “forward-looking statements,” which can be identified by the use of forward-looking terminology such as “may,” “will,” “seek,” “should,” “expect,” “anticipate,” “project,” “estimate,” “intend,” “continue” or “believe” or the negatives thereof or other variations thereon or comparable terminology. Actual events or results or the actual performance of ACC may differ materially from those reflected or contemplated in such targets or forward-looking statements. The performance of ACC is subject to risks and uncertainties</w:t>
      </w:r>
      <w:r>
        <w:rPr>
          <w:rFonts w:ascii="Calibri" w:eastAsia="Calibri" w:hAnsi="Calibri" w:cs="Calibri"/>
          <w:sz w:val="16"/>
          <w:szCs w:val="16"/>
        </w:rPr>
        <w:t>.</w:t>
      </w:r>
    </w:p>
    <w:p w:rsidR="003300B0" w:rsidRDefault="003300B0" w:rsidP="003300B0"/>
    <w:p w:rsidR="003300B0" w:rsidRDefault="003300B0" w:rsidP="003300B0">
      <w:r>
        <w:br w:type="page"/>
      </w:r>
    </w:p>
    <w:p w:rsidR="003300B0" w:rsidRDefault="003300B0" w:rsidP="003300B0">
      <w:r>
        <w:rPr>
          <w:rFonts w:ascii="Calibri" w:eastAsia="Calibri" w:hAnsi="Calibri" w:cs="Calibri"/>
          <w:color w:val="004A8B"/>
          <w:sz w:val="28"/>
          <w:szCs w:val="28"/>
        </w:rPr>
        <w:lastRenderedPageBreak/>
        <w:t>Summary Performance (in EGP)</w:t>
      </w:r>
    </w:p>
    <w:tbl>
      <w:tblPr>
        <w:tblW w:w="8958" w:type="dxa"/>
        <w:jc w:val="center"/>
        <w:tblLayout w:type="fixed"/>
        <w:tblLook w:val="0400"/>
      </w:tblPr>
      <w:tblGrid>
        <w:gridCol w:w="2308"/>
        <w:gridCol w:w="1138"/>
        <w:gridCol w:w="1138"/>
        <w:gridCol w:w="988"/>
        <w:gridCol w:w="1199"/>
        <w:gridCol w:w="1199"/>
        <w:gridCol w:w="988"/>
      </w:tblGrid>
      <w:tr w:rsidR="003300B0" w:rsidTr="00D31052">
        <w:trPr>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1F497D"/>
          </w:tcPr>
          <w:p w:rsidR="003300B0" w:rsidRDefault="003300B0" w:rsidP="00D31052">
            <w:pPr>
              <w:spacing w:line="240" w:lineRule="auto"/>
              <w:jc w:val="left"/>
            </w:pPr>
          </w:p>
        </w:tc>
        <w:tc>
          <w:tcPr>
            <w:tcW w:w="1138" w:type="dxa"/>
            <w:tcBorders>
              <w:top w:val="single" w:sz="4" w:space="0" w:color="000000"/>
              <w:left w:val="nil"/>
              <w:bottom w:val="single" w:sz="4" w:space="0" w:color="000000"/>
              <w:right w:val="single" w:sz="4" w:space="0" w:color="000000"/>
            </w:tcBorders>
            <w:shd w:val="clear" w:color="auto" w:fill="1F497D"/>
          </w:tcPr>
          <w:p w:rsidR="003300B0" w:rsidRDefault="003300B0" w:rsidP="00D31052">
            <w:pPr>
              <w:spacing w:line="240" w:lineRule="auto"/>
              <w:jc w:val="center"/>
            </w:pPr>
            <w:r>
              <w:rPr>
                <w:rFonts w:ascii="Garamond" w:eastAsia="Garamond" w:hAnsi="Garamond" w:cs="Garamond"/>
                <w:b/>
                <w:color w:val="FFFFFF"/>
                <w:sz w:val="16"/>
                <w:szCs w:val="16"/>
              </w:rPr>
              <w:t xml:space="preserve"> 1Q16 </w:t>
            </w:r>
          </w:p>
        </w:tc>
        <w:tc>
          <w:tcPr>
            <w:tcW w:w="1138" w:type="dxa"/>
            <w:tcBorders>
              <w:top w:val="single" w:sz="4" w:space="0" w:color="000000"/>
              <w:left w:val="nil"/>
              <w:bottom w:val="single" w:sz="4" w:space="0" w:color="000000"/>
              <w:right w:val="single" w:sz="4" w:space="0" w:color="000000"/>
            </w:tcBorders>
            <w:shd w:val="clear" w:color="auto" w:fill="1F497D"/>
          </w:tcPr>
          <w:p w:rsidR="003300B0" w:rsidRDefault="003300B0" w:rsidP="00D31052">
            <w:pPr>
              <w:spacing w:line="240" w:lineRule="auto"/>
              <w:jc w:val="center"/>
            </w:pPr>
            <w:r>
              <w:rPr>
                <w:rFonts w:ascii="Garamond" w:eastAsia="Garamond" w:hAnsi="Garamond" w:cs="Garamond"/>
                <w:b/>
                <w:color w:val="FFFFFF"/>
                <w:sz w:val="16"/>
                <w:szCs w:val="16"/>
              </w:rPr>
              <w:t xml:space="preserve"> 1Q15 </w:t>
            </w:r>
          </w:p>
        </w:tc>
        <w:tc>
          <w:tcPr>
            <w:tcW w:w="988" w:type="dxa"/>
            <w:tcBorders>
              <w:top w:val="single" w:sz="4" w:space="0" w:color="000000"/>
              <w:left w:val="nil"/>
              <w:bottom w:val="single" w:sz="4" w:space="0" w:color="000000"/>
              <w:right w:val="single" w:sz="4" w:space="0" w:color="000000"/>
            </w:tcBorders>
            <w:shd w:val="clear" w:color="auto" w:fill="1F497D"/>
          </w:tcPr>
          <w:p w:rsidR="003300B0" w:rsidRDefault="003300B0" w:rsidP="00D31052">
            <w:pPr>
              <w:spacing w:line="240" w:lineRule="auto"/>
              <w:jc w:val="left"/>
            </w:pPr>
            <w:r>
              <w:rPr>
                <w:rFonts w:ascii="Garamond" w:eastAsia="Garamond" w:hAnsi="Garamond" w:cs="Garamond"/>
                <w:b/>
                <w:color w:val="FFFFFF"/>
                <w:sz w:val="16"/>
                <w:szCs w:val="16"/>
              </w:rPr>
              <w:t>Var %</w:t>
            </w:r>
          </w:p>
        </w:tc>
        <w:tc>
          <w:tcPr>
            <w:tcW w:w="1199" w:type="dxa"/>
            <w:tcBorders>
              <w:top w:val="single" w:sz="4" w:space="0" w:color="000000"/>
              <w:left w:val="nil"/>
              <w:bottom w:val="single" w:sz="4" w:space="0" w:color="000000"/>
              <w:right w:val="single" w:sz="4" w:space="0" w:color="000000"/>
            </w:tcBorders>
            <w:shd w:val="clear" w:color="auto" w:fill="1F497D"/>
          </w:tcPr>
          <w:p w:rsidR="003300B0" w:rsidRDefault="003300B0" w:rsidP="00D31052">
            <w:pPr>
              <w:spacing w:line="240" w:lineRule="auto"/>
              <w:jc w:val="center"/>
            </w:pPr>
            <w:r>
              <w:rPr>
                <w:rFonts w:ascii="Garamond" w:eastAsia="Garamond" w:hAnsi="Garamond" w:cs="Garamond"/>
                <w:b/>
                <w:color w:val="FFFFFF"/>
                <w:sz w:val="16"/>
                <w:szCs w:val="16"/>
              </w:rPr>
              <w:t xml:space="preserve"> FY15 </w:t>
            </w:r>
          </w:p>
        </w:tc>
        <w:tc>
          <w:tcPr>
            <w:tcW w:w="1199" w:type="dxa"/>
            <w:tcBorders>
              <w:top w:val="single" w:sz="4" w:space="0" w:color="000000"/>
              <w:left w:val="nil"/>
              <w:bottom w:val="single" w:sz="4" w:space="0" w:color="000000"/>
              <w:right w:val="single" w:sz="4" w:space="0" w:color="000000"/>
            </w:tcBorders>
            <w:shd w:val="clear" w:color="auto" w:fill="1F497D"/>
          </w:tcPr>
          <w:p w:rsidR="003300B0" w:rsidRDefault="003300B0" w:rsidP="00D31052">
            <w:pPr>
              <w:spacing w:line="240" w:lineRule="auto"/>
              <w:jc w:val="center"/>
            </w:pPr>
            <w:r>
              <w:rPr>
                <w:rFonts w:ascii="Garamond" w:eastAsia="Garamond" w:hAnsi="Garamond" w:cs="Garamond"/>
                <w:b/>
                <w:color w:val="FFFFFF"/>
                <w:sz w:val="16"/>
                <w:szCs w:val="16"/>
              </w:rPr>
              <w:t xml:space="preserve"> FY14 </w:t>
            </w:r>
          </w:p>
        </w:tc>
        <w:tc>
          <w:tcPr>
            <w:tcW w:w="988" w:type="dxa"/>
            <w:tcBorders>
              <w:top w:val="single" w:sz="4" w:space="0" w:color="000000"/>
              <w:left w:val="nil"/>
              <w:bottom w:val="single" w:sz="4" w:space="0" w:color="000000"/>
              <w:right w:val="single" w:sz="4" w:space="0" w:color="000000"/>
            </w:tcBorders>
            <w:shd w:val="clear" w:color="auto" w:fill="1F497D"/>
            <w:vAlign w:val="center"/>
          </w:tcPr>
          <w:p w:rsidR="003300B0" w:rsidRDefault="003300B0" w:rsidP="00D31052">
            <w:pPr>
              <w:spacing w:line="240" w:lineRule="auto"/>
              <w:jc w:val="left"/>
            </w:pPr>
            <w:r>
              <w:rPr>
                <w:rFonts w:ascii="Garamond" w:eastAsia="Garamond" w:hAnsi="Garamond" w:cs="Garamond"/>
                <w:b/>
                <w:color w:val="FFFFFF"/>
                <w:sz w:val="16"/>
                <w:szCs w:val="16"/>
              </w:rPr>
              <w:t>Var%</w:t>
            </w:r>
          </w:p>
        </w:tc>
      </w:tr>
      <w:tr w:rsidR="003300B0" w:rsidTr="00D31052">
        <w:trPr>
          <w:trHeight w:val="2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National Consumption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14,845,302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13,042,266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14%</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53,800,197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52,233,659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National Production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14,732,195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13,191,561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12%</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53,849,765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0%</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Clinker Production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939,923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954,922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3,534,389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2,614,354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35%</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Clinker Utilization Rate</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90%</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91%</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84%</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62%</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Cement Production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1,016,460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1,074,065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-5%</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4,259,845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4,161,297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w:t>
            </w:r>
          </w:p>
        </w:tc>
      </w:tr>
      <w:tr w:rsidR="003300B0" w:rsidTr="00D31052">
        <w:trPr>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Cement Utilization Rates</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81%</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86%</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85%</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83%</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Cement Sales Volume</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1,019,836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1,071,479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-5%</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4,271,201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4,130,418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Market Share</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7%</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Revenues</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536,275,749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585,300,706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2,236,127,591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2,498,734,060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-11%</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Rev/Ton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526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546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524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605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-13%</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COGS</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326,888,736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377,274,292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-13%</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1,466,357,744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1,458,936,045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Cost/Ton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321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352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-9%</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343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353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EBITDA</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191,234,677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184,351,076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668,864,047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833,335,645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-20%</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EBITDA/Ton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188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172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9%</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157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202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-22%</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EBITDA Margin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36%</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31%</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30%</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33%</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Gross Profit</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160,181,314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159,729,335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0%</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573,249,200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749,147,942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-23%</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Gross Profit Margin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30%</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27%</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26%</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30%</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COGS/Sales</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61%</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64%</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66%</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58%</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SG&amp;A</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18,683,254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24,229,366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-23%</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92,890,427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106,482,652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-13%</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SG&amp;A/Sales</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FX Loss</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75,898,561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30,544,951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148%</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44,004,095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25,856,362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70%</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Depreciation &amp; Amortization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49,205,699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48,297,079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196,520,647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290,650,073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-32%</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Interest expenses</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20,236,659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19,399,115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89,544,615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94,560,609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-5%</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Profit Before Tax</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45,893,758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86,109,931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-47%</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339,088,857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522,181,462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-35%</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Deferred tax</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2,000,000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6,000,000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-67%</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(21,910,624)</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14,127,553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-255%</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Income Tax</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10,569,424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24,084,081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-56%</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71,556,188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b/>
                <w:sz w:val="16"/>
                <w:szCs w:val="16"/>
              </w:rPr>
              <w:t xml:space="preserve">134,923,345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-47%</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Net Profit</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33,324,334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56,025,850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-41%</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289,443,293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373,130,564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-22%</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Net Profit Margin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6%</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10%</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13%</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15%</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r>
      <w:tr w:rsidR="003300B0" w:rsidTr="00D31052">
        <w:trPr>
          <w:trHeight w:val="24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Outstanding Debt</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972,914,637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1,174,012,098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-17%</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1,050,701,637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1,200,241,820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-12%</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Equity</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1,414,966,945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1,148,225,171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23%</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1,381,642,611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1,295,116,546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7%</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 xml:space="preserve">Debt/Equity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0.7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1.0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0.8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0.9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w:t>
            </w:r>
          </w:p>
        </w:tc>
      </w:tr>
      <w:tr w:rsidR="003300B0" w:rsidTr="00D31052">
        <w:trPr>
          <w:trHeight w:val="300"/>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Overhead Cost</w:t>
            </w:r>
          </w:p>
        </w:tc>
        <w:tc>
          <w:tcPr>
            <w:tcW w:w="1138" w:type="dxa"/>
            <w:tcBorders>
              <w:top w:val="single" w:sz="4" w:space="0" w:color="000000"/>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9,780,106 </w:t>
            </w:r>
          </w:p>
        </w:tc>
        <w:tc>
          <w:tcPr>
            <w:tcW w:w="1138" w:type="dxa"/>
            <w:tcBorders>
              <w:top w:val="single" w:sz="4" w:space="0" w:color="000000"/>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8,983,960 </w:t>
            </w:r>
          </w:p>
        </w:tc>
        <w:tc>
          <w:tcPr>
            <w:tcW w:w="988" w:type="dxa"/>
            <w:tcBorders>
              <w:top w:val="single" w:sz="4" w:space="0" w:color="000000"/>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9%</w:t>
            </w:r>
          </w:p>
        </w:tc>
        <w:tc>
          <w:tcPr>
            <w:tcW w:w="1199" w:type="dxa"/>
            <w:tcBorders>
              <w:top w:val="single" w:sz="4" w:space="0" w:color="000000"/>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41,709,649 </w:t>
            </w:r>
          </w:p>
        </w:tc>
        <w:tc>
          <w:tcPr>
            <w:tcW w:w="1199" w:type="dxa"/>
            <w:tcBorders>
              <w:top w:val="single" w:sz="4" w:space="0" w:color="000000"/>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37,360,047 </w:t>
            </w:r>
          </w:p>
        </w:tc>
        <w:tc>
          <w:tcPr>
            <w:tcW w:w="988" w:type="dxa"/>
            <w:tcBorders>
              <w:top w:val="single" w:sz="4" w:space="0" w:color="000000"/>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12%</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Transportation Cost</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23,749,706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28,749,363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-17%</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124,410,569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80,861,660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54%</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 Cash Cost</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293,358,924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339,540,969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-14%</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1,300,237,526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1,340,714,339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Cash cost/Ton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288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317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-9%</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304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325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-6%</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Transportation Cost/Ton</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38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49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-23%</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53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48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10%</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Transported Third Party</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520,620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468,131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11%</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2,076,601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1,231,991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69%</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Transported Own Fleet</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109,494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119,359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-8%</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289,614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453,086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-36%</w:t>
            </w:r>
          </w:p>
        </w:tc>
      </w:tr>
      <w:tr w:rsidR="003300B0" w:rsidTr="00D31052">
        <w:trPr>
          <w:trHeight w:val="300"/>
          <w:jc w:val="center"/>
        </w:trPr>
        <w:tc>
          <w:tcPr>
            <w:tcW w:w="2308" w:type="dxa"/>
            <w:tcBorders>
              <w:top w:val="nil"/>
              <w:left w:val="single" w:sz="4" w:space="0" w:color="000000"/>
              <w:bottom w:val="single" w:sz="4" w:space="0" w:color="000000"/>
              <w:right w:val="single" w:sz="4" w:space="0" w:color="000000"/>
            </w:tcBorders>
            <w:shd w:val="clear" w:color="auto" w:fill="FFFFFF"/>
          </w:tcPr>
          <w:p w:rsidR="003300B0" w:rsidRDefault="003300B0" w:rsidP="00D31052">
            <w:pPr>
              <w:spacing w:line="240" w:lineRule="auto"/>
              <w:jc w:val="left"/>
            </w:pPr>
            <w:r>
              <w:rPr>
                <w:rFonts w:ascii="Garamond" w:eastAsia="Garamond" w:hAnsi="Garamond" w:cs="Garamond"/>
                <w:b/>
                <w:sz w:val="16"/>
                <w:szCs w:val="16"/>
              </w:rPr>
              <w:t>Total Volume Transported</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630,114 </w:t>
            </w:r>
          </w:p>
        </w:tc>
        <w:tc>
          <w:tcPr>
            <w:tcW w:w="113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 587,490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7%</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2,366,215 </w:t>
            </w:r>
          </w:p>
        </w:tc>
        <w:tc>
          <w:tcPr>
            <w:tcW w:w="1199"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 xml:space="preserve">1,685,077 </w:t>
            </w:r>
          </w:p>
        </w:tc>
        <w:tc>
          <w:tcPr>
            <w:tcW w:w="988" w:type="dxa"/>
            <w:tcBorders>
              <w:top w:val="nil"/>
              <w:left w:val="nil"/>
              <w:bottom w:val="single" w:sz="4" w:space="0" w:color="000000"/>
              <w:right w:val="single" w:sz="4" w:space="0" w:color="000000"/>
            </w:tcBorders>
            <w:shd w:val="clear" w:color="auto" w:fill="FFFFFF"/>
          </w:tcPr>
          <w:p w:rsidR="003300B0" w:rsidRDefault="003300B0" w:rsidP="00D31052">
            <w:pPr>
              <w:spacing w:line="240" w:lineRule="auto"/>
              <w:jc w:val="right"/>
            </w:pPr>
            <w:r>
              <w:rPr>
                <w:rFonts w:ascii="Garamond" w:eastAsia="Garamond" w:hAnsi="Garamond" w:cs="Garamond"/>
                <w:sz w:val="16"/>
                <w:szCs w:val="16"/>
              </w:rPr>
              <w:t>40%</w:t>
            </w:r>
          </w:p>
        </w:tc>
      </w:tr>
    </w:tbl>
    <w:p w:rsidR="00B00B02" w:rsidRDefault="00B00B02"/>
    <w:sectPr w:rsidR="00B00B02" w:rsidSect="00B321D9">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997" w:rsidRDefault="005F5997" w:rsidP="003300B0">
      <w:pPr>
        <w:spacing w:line="240" w:lineRule="auto"/>
      </w:pPr>
      <w:r>
        <w:separator/>
      </w:r>
    </w:p>
  </w:endnote>
  <w:endnote w:type="continuationSeparator" w:id="1">
    <w:p w:rsidR="005F5997" w:rsidRDefault="005F5997" w:rsidP="003300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B0" w:rsidRDefault="003300B0" w:rsidP="003300B0">
    <w:pPr>
      <w:pStyle w:val="Footer"/>
    </w:pPr>
    <w:r>
      <w:rPr>
        <w:rFonts w:ascii="Calibri" w:eastAsia="Calibri" w:hAnsi="Calibri" w:cs="Calibri"/>
        <w:sz w:val="16"/>
        <w:szCs w:val="16"/>
      </w:rPr>
      <w:t>ARABIAN CEME</w:t>
    </w:r>
    <w:r w:rsidR="002641AB">
      <w:rPr>
        <w:rFonts w:ascii="Calibri" w:eastAsia="Calibri" w:hAnsi="Calibri" w:cs="Calibri"/>
        <w:sz w:val="16"/>
        <w:szCs w:val="16"/>
      </w:rPr>
      <w:t>NT COMPANY - EARNINGS RELEASE Q1</w:t>
    </w:r>
    <w:r>
      <w:rPr>
        <w:rFonts w:ascii="Calibri" w:eastAsia="Calibri" w:hAnsi="Calibri" w:cs="Calibri"/>
        <w:sz w:val="16"/>
        <w:szCs w:val="16"/>
      </w:rPr>
      <w:t xml:space="preserve"> 2016 | Page </w:t>
    </w:r>
    <w:r w:rsidR="00B321D9">
      <w:fldChar w:fldCharType="begin"/>
    </w:r>
    <w:r>
      <w:instrText>PAGE</w:instrText>
    </w:r>
    <w:r w:rsidR="00B321D9">
      <w:fldChar w:fldCharType="separate"/>
    </w:r>
    <w:r w:rsidR="00C565FA">
      <w:rPr>
        <w:noProof/>
      </w:rPr>
      <w:t>1</w:t>
    </w:r>
    <w:r w:rsidR="00B321D9">
      <w:fldChar w:fldCharType="end"/>
    </w:r>
  </w:p>
  <w:p w:rsidR="003300B0" w:rsidRDefault="00330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997" w:rsidRDefault="005F5997" w:rsidP="003300B0">
      <w:pPr>
        <w:spacing w:line="240" w:lineRule="auto"/>
      </w:pPr>
      <w:r>
        <w:separator/>
      </w:r>
    </w:p>
  </w:footnote>
  <w:footnote w:type="continuationSeparator" w:id="1">
    <w:p w:rsidR="005F5997" w:rsidRDefault="005F5997" w:rsidP="003300B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45E1"/>
    <w:rsid w:val="002641AB"/>
    <w:rsid w:val="002648CB"/>
    <w:rsid w:val="003300B0"/>
    <w:rsid w:val="00420DCD"/>
    <w:rsid w:val="005C5563"/>
    <w:rsid w:val="005F5997"/>
    <w:rsid w:val="007245E1"/>
    <w:rsid w:val="009B4B6A"/>
    <w:rsid w:val="00A958A3"/>
    <w:rsid w:val="00B00B02"/>
    <w:rsid w:val="00B321D9"/>
    <w:rsid w:val="00C565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00B0"/>
    <w:pPr>
      <w:spacing w:after="0" w:line="276" w:lineRule="auto"/>
      <w:jc w:val="both"/>
    </w:pPr>
    <w:rPr>
      <w:rFonts w:ascii="Times New Roman" w:eastAsia="Times New Roman" w:hAnsi="Times New Roman" w:cs="Times New Roman"/>
      <w:color w:val="000000"/>
      <w:sz w:val="18"/>
      <w:szCs w:val="18"/>
    </w:rPr>
  </w:style>
  <w:style w:type="paragraph" w:styleId="Heading2">
    <w:name w:val="heading 2"/>
    <w:basedOn w:val="Normal"/>
    <w:next w:val="Normal"/>
    <w:link w:val="Heading2Char"/>
    <w:rsid w:val="003300B0"/>
    <w:pPr>
      <w:keepNext/>
      <w:keepLines/>
      <w:spacing w:before="200"/>
      <w:outlineLvl w:val="1"/>
    </w:pPr>
    <w:rPr>
      <w:color w:val="004A8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00B0"/>
    <w:rPr>
      <w:rFonts w:ascii="Times New Roman" w:eastAsia="Times New Roman" w:hAnsi="Times New Roman" w:cs="Times New Roman"/>
      <w:color w:val="004A8B"/>
      <w:sz w:val="26"/>
      <w:szCs w:val="26"/>
    </w:rPr>
  </w:style>
  <w:style w:type="paragraph" w:styleId="Header">
    <w:name w:val="header"/>
    <w:basedOn w:val="Normal"/>
    <w:link w:val="HeaderChar"/>
    <w:uiPriority w:val="99"/>
    <w:unhideWhenUsed/>
    <w:rsid w:val="003300B0"/>
    <w:pPr>
      <w:tabs>
        <w:tab w:val="center" w:pos="4680"/>
        <w:tab w:val="right" w:pos="9360"/>
      </w:tabs>
      <w:spacing w:line="240" w:lineRule="auto"/>
    </w:pPr>
  </w:style>
  <w:style w:type="character" w:customStyle="1" w:styleId="HeaderChar">
    <w:name w:val="Header Char"/>
    <w:basedOn w:val="DefaultParagraphFont"/>
    <w:link w:val="Header"/>
    <w:uiPriority w:val="99"/>
    <w:rsid w:val="003300B0"/>
    <w:rPr>
      <w:rFonts w:ascii="Times New Roman" w:eastAsia="Times New Roman" w:hAnsi="Times New Roman" w:cs="Times New Roman"/>
      <w:color w:val="000000"/>
      <w:sz w:val="18"/>
      <w:szCs w:val="18"/>
    </w:rPr>
  </w:style>
  <w:style w:type="paragraph" w:styleId="Footer">
    <w:name w:val="footer"/>
    <w:basedOn w:val="Normal"/>
    <w:link w:val="FooterChar"/>
    <w:uiPriority w:val="99"/>
    <w:unhideWhenUsed/>
    <w:rsid w:val="003300B0"/>
    <w:pPr>
      <w:tabs>
        <w:tab w:val="center" w:pos="4680"/>
        <w:tab w:val="right" w:pos="9360"/>
      </w:tabs>
      <w:spacing w:line="240" w:lineRule="auto"/>
    </w:pPr>
  </w:style>
  <w:style w:type="character" w:customStyle="1" w:styleId="FooterChar">
    <w:name w:val="Footer Char"/>
    <w:basedOn w:val="DefaultParagraphFont"/>
    <w:link w:val="Footer"/>
    <w:uiPriority w:val="99"/>
    <w:rsid w:val="003300B0"/>
    <w:rPr>
      <w:rFonts w:ascii="Times New Roman" w:eastAsia="Times New Roman"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iancemen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abiancemen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abiancement.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IR@arabiancementcompany.com" TargetMode="External"/><Relationship Id="rId4" Type="http://schemas.openxmlformats.org/officeDocument/2006/relationships/footnotes" Target="footnotes.xml"/><Relationship Id="rId9" Type="http://schemas.openxmlformats.org/officeDocument/2006/relationships/hyperlink" Target="mailto:IR@arabiancement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Naguib</dc:creator>
  <cp:lastModifiedBy>rhamdy</cp:lastModifiedBy>
  <cp:revision>2</cp:revision>
  <dcterms:created xsi:type="dcterms:W3CDTF">2016-06-21T12:03:00Z</dcterms:created>
  <dcterms:modified xsi:type="dcterms:W3CDTF">2016-06-21T12:03:00Z</dcterms:modified>
</cp:coreProperties>
</file>